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C19FA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val="en-US" w:eastAsia="zh-CN"/>
        </w:rPr>
        <w:t>米贝学校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 w14:paraId="257D9EB6"/>
    <w:p w14:paraId="5B63E374">
      <w:pPr>
        <w:numPr>
          <w:ilvl w:val="0"/>
          <w:numId w:val="1"/>
        </w:numPr>
        <w:overflowPunct w:val="0"/>
        <w:spacing w:line="600" w:lineRule="exact"/>
        <w:ind w:firstLine="643" w:firstLineChars="200"/>
        <w:rPr>
          <w:rFonts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绩效评价工作开展情况。</w:t>
      </w:r>
    </w:p>
    <w:p w14:paraId="2BE10005">
      <w:pPr>
        <w:numPr>
          <w:ilvl w:val="0"/>
          <w:numId w:val="0"/>
        </w:numPr>
        <w:overflowPunct w:val="0"/>
        <w:spacing w:line="600" w:lineRule="exact"/>
        <w:ind w:firstLine="964" w:firstLineChars="300"/>
        <w:rPr>
          <w:rFonts w:ascii="Times New Roman" w:hAnsi="Times New Roman" w:eastAsia="楷体" w:cs="Times New Roman"/>
          <w:b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一是绩效自评开展情况。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组织对2024年度本单位整体支出开展绩效自评，涉及项目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个，共涉及资金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193.87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万元。其中，一般公共预算项目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193.87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万元，占一般公共预算支出总额的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二是部门评价开展情况。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组织对所属单位2024年度“</w:t>
      </w:r>
      <w:r>
        <w:rPr>
          <w:rFonts w:hint="eastAsia" w:eastAsia="仿宋_GB2312"/>
          <w:sz w:val="32"/>
          <w:szCs w:val="32"/>
        </w:rPr>
        <w:t>营养改善计划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”“</w:t>
      </w:r>
      <w:r>
        <w:rPr>
          <w:rFonts w:hint="eastAsia" w:eastAsia="仿宋_GB2312" w:cs="仿宋"/>
          <w:sz w:val="32"/>
          <w:szCs w:val="32"/>
          <w:lang w:bidi="ar"/>
        </w:rPr>
        <w:t>前教育生均公用经费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“</w:t>
      </w:r>
      <w:r>
        <w:rPr>
          <w:rFonts w:hint="eastAsia" w:eastAsia="仿宋_GB2312" w:cs="宋体"/>
          <w:sz w:val="32"/>
          <w:szCs w:val="32"/>
        </w:rPr>
        <w:t>义务教育生均公用经费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”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个项目开展了部门评价，涉及一般公共预算支出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193.87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万元，政府性基金预算支出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万元，国有资本经营预算支出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万元，社会保险基金预算支出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三是事前绩效评估开展情况。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组织对2024年度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个新增重大政策和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个重大项目开展事前绩效评估，共涉及资金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193.87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</w:t>
      </w:r>
    </w:p>
    <w:p w14:paraId="071464D6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auto"/>
        <w:ind w:firstLine="643" w:firstLineChars="200"/>
        <w:rPr>
          <w:rFonts w:hint="eastAsia" w:ascii="仿宋_GB2312" w:hAnsi="宋体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（二）绩效评价结果。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一是绩效自评结果。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2024年度本单位整体支出</w:t>
      </w:r>
      <w:r>
        <w:rPr>
          <w:rFonts w:ascii="Times New Roman" w:hAnsi="Times New Roman" w:eastAsia="仿宋_GB2312" w:cs="Times New Roman"/>
          <w:sz w:val="32"/>
          <w:szCs w:val="32"/>
        </w:rPr>
        <w:t>全年预算数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876.14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1042.91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119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，绩效自评得分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96</w:t>
      </w:r>
      <w:r>
        <w:rPr>
          <w:rFonts w:ascii="Times New Roman" w:hAnsi="Times New Roman" w:eastAsia="仿宋_GB2312" w:cs="Times New Roman"/>
          <w:sz w:val="32"/>
          <w:szCs w:val="32"/>
        </w:rPr>
        <w:t>分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，评价等级为</w:t>
      </w:r>
      <w:r>
        <w:rPr>
          <w:rFonts w:ascii="Times New Roman" w:hAnsi="Times New Roman" w:eastAsia="仿宋_GB2312" w:cs="Times New Roman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”。绩效目标完成情况：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1、</w:t>
      </w:r>
      <w:r>
        <w:rPr>
          <w:rFonts w:hint="eastAsia" w:ascii="黑体" w:hAnsi="黑体" w:eastAsia="黑体"/>
          <w:sz w:val="32"/>
          <w:szCs w:val="32"/>
        </w:rPr>
        <w:t>预算安排情况</w:t>
      </w:r>
      <w:r>
        <w:rPr>
          <w:rFonts w:hint="eastAsia" w:ascii="黑体" w:hAnsi="黑体" w:eastAsia="黑体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年度财政收支：</w:t>
      </w:r>
      <w:r>
        <w:rPr>
          <w:rFonts w:hint="eastAsia" w:ascii="仿宋_GB2312" w:hAnsi="宋体" w:eastAsia="仿宋_GB2312"/>
          <w:sz w:val="32"/>
          <w:szCs w:val="32"/>
        </w:rPr>
        <w:t>本年收入合计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1042.91</w:t>
      </w:r>
      <w:r>
        <w:rPr>
          <w:rFonts w:hint="eastAsia" w:ascii="仿宋_GB2312" w:hAnsi="宋体" w:eastAsia="仿宋_GB2312"/>
          <w:sz w:val="32"/>
          <w:szCs w:val="32"/>
        </w:rPr>
        <w:t>万元，其中：财政拨款收入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1042.91</w:t>
      </w:r>
      <w:r>
        <w:rPr>
          <w:rFonts w:hint="eastAsia" w:ascii="仿宋_GB2312" w:hAnsi="宋体" w:eastAsia="仿宋_GB2312"/>
          <w:sz w:val="32"/>
          <w:szCs w:val="32"/>
        </w:rPr>
        <w:t>万元，占100%；本年支出合计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1042.91</w:t>
      </w:r>
      <w:r>
        <w:rPr>
          <w:rFonts w:hint="eastAsia" w:ascii="仿宋_GB2312" w:hAnsi="宋体" w:eastAsia="仿宋_GB2312"/>
          <w:sz w:val="32"/>
          <w:szCs w:val="32"/>
        </w:rPr>
        <w:t>万元，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按经济分类支出：工资福利支出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769.25万元，商品和服务支出146.59万元，对个人和家庭的补助支出：122.27万元，资本性支出4.80万元。</w:t>
      </w:r>
      <w:r>
        <w:rPr>
          <w:rFonts w:hint="eastAsia" w:ascii="仿宋_GB2312" w:hAnsi="宋体" w:eastAsia="仿宋_GB2312" w:cs="黑体"/>
          <w:color w:val="000000"/>
          <w:kern w:val="0"/>
          <w:sz w:val="32"/>
          <w:szCs w:val="32"/>
          <w:lang w:val="en-US" w:eastAsia="zh-CN" w:bidi="ar-SA"/>
        </w:rPr>
        <w:t>截至2024年12月31日，固定资产原值1345.09万元，累计折旧221.37万元，净值1123.72万元。本单位共有车辆0辆，其中，领导干部用车0辆、机要通信用车0辆、应急保障用车0辆、执法执勤用车0辆、特种专业技术用车0辆、其他用车0辆；单位价值50万元以上通用设备0台（套）；单位价值100万元以上专用设备0台（套）。</w:t>
      </w:r>
    </w:p>
    <w:p w14:paraId="0F5A2200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auto"/>
        <w:ind w:left="0" w:leftChars="0"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2、</w:t>
      </w:r>
      <w:r>
        <w:rPr>
          <w:rFonts w:hint="eastAsia" w:ascii="黑体" w:hAnsi="黑体" w:eastAsia="黑体"/>
          <w:sz w:val="32"/>
          <w:szCs w:val="32"/>
        </w:rPr>
        <w:t>预算</w:t>
      </w:r>
      <w:r>
        <w:rPr>
          <w:rFonts w:hint="eastAsia" w:ascii="黑体" w:hAnsi="黑体" w:eastAsia="黑体"/>
          <w:sz w:val="32"/>
          <w:szCs w:val="32"/>
          <w:lang w:eastAsia="zh-CN"/>
        </w:rPr>
        <w:t>执行</w:t>
      </w:r>
      <w:r>
        <w:rPr>
          <w:rFonts w:hint="eastAsia" w:ascii="黑体" w:hAnsi="黑体" w:eastAsia="黑体"/>
          <w:sz w:val="32"/>
          <w:szCs w:val="32"/>
        </w:rPr>
        <w:t>情况</w:t>
      </w:r>
      <w:r>
        <w:rPr>
          <w:rFonts w:hint="eastAsia" w:ascii="黑体" w:hAnsi="黑体" w:eastAsia="黑体"/>
          <w:sz w:val="32"/>
          <w:szCs w:val="32"/>
          <w:lang w:eastAsia="zh-CN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年初财政批复部门预算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1042.91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万元，实际总收入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1042.91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万元，全部为财政拨款收入。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</w:t>
      </w:r>
    </w:p>
    <w:p w14:paraId="780A4AB7"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auto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年度总支出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1042.91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/>
          <w:sz w:val="32"/>
          <w:szCs w:val="32"/>
        </w:rPr>
        <w:t>其中：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按经济分类支出：工资福利支出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769.25万元，商品和服务支出146.59万元，对个人和家庭的补助支出：122.27万元，资本性支出4.8万元，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年末结转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 w14:paraId="79FBF096">
      <w:pPr>
        <w:spacing w:line="600" w:lineRule="exact"/>
        <w:ind w:left="0" w:firstLine="640" w:firstLineChars="200"/>
        <w:jc w:val="left"/>
        <w:rPr>
          <w:rFonts w:hint="eastAsia" w:ascii="仿宋_GB2312" w:hAnsi="仿宋" w:eastAsia="仿宋_GB2312" w:cs="仿宋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存在的问题及原因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：</w:t>
      </w:r>
    </w:p>
    <w:p w14:paraId="63E95C3E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auto"/>
        <w:ind w:firstLine="960" w:firstLineChars="3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问题：部分教学设备闲置，课程创新不足。</w:t>
      </w:r>
    </w:p>
    <w:p w14:paraId="0C13CF7F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auto"/>
        <w:ind w:firstLine="960" w:firstLineChars="300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  <w:t>原因：教师创新激励机制不完善。</w:t>
      </w:r>
    </w:p>
    <w:p w14:paraId="665C2DBC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auto"/>
        <w:ind w:firstLine="960" w:firstLineChars="300"/>
        <w:rPr>
          <w:rFonts w:hint="default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  <w:t>我校在后续工作中完善教师创新激励机制，鼓励教师开展课程创新，提升教育教学质量。盯紧学校补短板项目，改善教育教学环境，增强学校整体教育基础设施功能，打造米贝苗乡教育教学新形象。</w:t>
      </w:r>
    </w:p>
    <w:p w14:paraId="482EC567">
      <w:pPr>
        <w:overflowPunct w:val="0"/>
        <w:spacing w:line="600" w:lineRule="exact"/>
        <w:ind w:firstLine="602" w:firstLineChars="200"/>
        <w:rPr>
          <w:rFonts w:ascii="Times New Roman" w:hAnsi="Times New Roman" w:eastAsia="仿宋_GB2312" w:cs="Times New Roman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kern w:val="0"/>
          <w:sz w:val="30"/>
          <w:szCs w:val="30"/>
        </w:rPr>
        <w:t>二是部门评价结果。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0"/>
          <w:szCs w:val="30"/>
          <w:lang w:eastAsia="zh-CN"/>
        </w:rPr>
        <w:t>“</w:t>
      </w:r>
      <w:r>
        <w:rPr>
          <w:rFonts w:hint="eastAsia" w:eastAsia="仿宋_GB2312"/>
          <w:sz w:val="32"/>
          <w:szCs w:val="32"/>
        </w:rPr>
        <w:t>营养改善计划</w:t>
      </w:r>
      <w:r>
        <w:rPr>
          <w:rFonts w:hint="eastAsia" w:eastAsia="仿宋_GB2312"/>
          <w:sz w:val="32"/>
          <w:szCs w:val="32"/>
          <w:lang w:eastAsia="zh-CN"/>
        </w:rPr>
        <w:t>”</w:t>
      </w:r>
      <w:r>
        <w:rPr>
          <w:rFonts w:ascii="Times New Roman" w:hAnsi="Times New Roman" w:eastAsia="仿宋_GB2312" w:cs="Times New Roman"/>
          <w:sz w:val="30"/>
          <w:szCs w:val="30"/>
        </w:rPr>
        <w:t>项目全年预算数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53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20.85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39.33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eastAsia="仿宋_GB2312"/>
          <w:sz w:val="32"/>
          <w:szCs w:val="32"/>
          <w:lang w:val="en-US" w:eastAsia="zh-CN"/>
        </w:rPr>
        <w:t>90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0"/>
          <w:szCs w:val="30"/>
          <w:lang w:eastAsia="zh-CN"/>
        </w:rPr>
        <w:t>“</w:t>
      </w:r>
      <w:r>
        <w:rPr>
          <w:rFonts w:hint="eastAsia" w:eastAsia="仿宋_GB2312"/>
          <w:sz w:val="32"/>
          <w:szCs w:val="32"/>
          <w:lang w:eastAsia="zh-CN"/>
        </w:rPr>
        <w:t>学前公用经经费”</w:t>
      </w:r>
      <w:r>
        <w:rPr>
          <w:rFonts w:ascii="Times New Roman" w:hAnsi="Times New Roman" w:eastAsia="仿宋_GB2312" w:cs="Times New Roman"/>
          <w:sz w:val="30"/>
          <w:szCs w:val="30"/>
        </w:rPr>
        <w:t>项目全年预算数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3.9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eastAsia="仿宋_GB2312"/>
          <w:sz w:val="32"/>
          <w:szCs w:val="32"/>
          <w:lang w:val="en-US" w:eastAsia="zh-CN"/>
        </w:rPr>
        <w:t>90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0"/>
          <w:szCs w:val="30"/>
          <w:lang w:eastAsia="zh-CN"/>
        </w:rPr>
        <w:t>“</w:t>
      </w:r>
      <w:r>
        <w:rPr>
          <w:rFonts w:hint="eastAsia" w:eastAsia="仿宋_GB2312"/>
          <w:sz w:val="32"/>
          <w:szCs w:val="32"/>
          <w:lang w:eastAsia="zh-CN"/>
        </w:rPr>
        <w:t>义务教育公用经经费”</w:t>
      </w:r>
      <w:r>
        <w:rPr>
          <w:rFonts w:ascii="Times New Roman" w:hAnsi="Times New Roman" w:eastAsia="仿宋_GB2312" w:cs="Times New Roman"/>
          <w:sz w:val="30"/>
          <w:szCs w:val="30"/>
        </w:rPr>
        <w:t>项目全年预算数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70.57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47.47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67.27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eastAsia="仿宋_GB2312"/>
          <w:sz w:val="32"/>
          <w:szCs w:val="32"/>
          <w:lang w:val="en-US" w:eastAsia="zh-CN"/>
        </w:rPr>
        <w:t>90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0"/>
          <w:szCs w:val="30"/>
          <w:lang w:eastAsia="zh-CN"/>
        </w:rPr>
        <w:t>“</w:t>
      </w:r>
      <w:r>
        <w:rPr>
          <w:rFonts w:hint="eastAsia" w:eastAsia="仿宋_GB2312"/>
          <w:sz w:val="32"/>
          <w:szCs w:val="32"/>
        </w:rPr>
        <w:t>离退休人员的退休生活</w:t>
      </w:r>
      <w:r>
        <w:rPr>
          <w:rFonts w:hint="eastAsia" w:eastAsia="仿宋_GB2312"/>
          <w:sz w:val="32"/>
          <w:szCs w:val="32"/>
          <w:lang w:eastAsia="zh-CN"/>
        </w:rPr>
        <w:t>”</w:t>
      </w:r>
      <w:r>
        <w:rPr>
          <w:rFonts w:ascii="Times New Roman" w:hAnsi="Times New Roman" w:eastAsia="仿宋_GB2312" w:cs="Times New Roman"/>
          <w:sz w:val="30"/>
          <w:szCs w:val="30"/>
        </w:rPr>
        <w:t>项目全年预算数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31.24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28.69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91.83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eastAsia="仿宋_GB2312"/>
          <w:sz w:val="32"/>
          <w:szCs w:val="32"/>
          <w:lang w:val="en-US" w:eastAsia="zh-CN"/>
        </w:rPr>
        <w:t>99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0"/>
          <w:szCs w:val="30"/>
          <w:lang w:eastAsia="zh-CN"/>
        </w:rPr>
        <w:t>“</w:t>
      </w:r>
      <w:r>
        <w:rPr>
          <w:rFonts w:hint="eastAsia" w:eastAsia="仿宋_GB2312"/>
          <w:sz w:val="32"/>
          <w:szCs w:val="32"/>
        </w:rPr>
        <w:t>其他人员生活补助</w:t>
      </w:r>
      <w:r>
        <w:rPr>
          <w:rFonts w:hint="eastAsia" w:eastAsia="仿宋_GB2312"/>
          <w:sz w:val="32"/>
          <w:szCs w:val="32"/>
          <w:lang w:eastAsia="zh-CN"/>
        </w:rPr>
        <w:t>”</w:t>
      </w:r>
      <w:r>
        <w:rPr>
          <w:rFonts w:ascii="Times New Roman" w:hAnsi="Times New Roman" w:eastAsia="仿宋_GB2312" w:cs="Times New Roman"/>
          <w:sz w:val="30"/>
          <w:szCs w:val="30"/>
        </w:rPr>
        <w:t>项目全年预算数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35.16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33.61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95.6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eastAsia="仿宋_GB2312"/>
          <w:sz w:val="32"/>
          <w:szCs w:val="32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分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三是事前绩效评估结果。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2024年度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个重大项目事前绩效评估，其中，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个项目评估通过，涉及资金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193.87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个项目评估不通过，涉及资金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</w:t>
      </w:r>
    </w:p>
    <w:p w14:paraId="288BED59">
      <w:pPr>
        <w:pStyle w:val="11"/>
        <w:overflowPunct w:val="0"/>
        <w:autoSpaceDE/>
        <w:autoSpaceDN/>
        <w:spacing w:line="600" w:lineRule="exact"/>
        <w:ind w:firstLine="643" w:firstLineChars="200"/>
        <w:jc w:val="both"/>
        <w:rPr>
          <w:rFonts w:ascii="Times New Roman" w:hAnsi="Times New Roman" w:eastAsia="仿宋_GB2312" w:cs="Times New Roman"/>
          <w:color w:val="auto"/>
          <w:sz w:val="72"/>
          <w:szCs w:val="72"/>
        </w:rPr>
      </w:pPr>
      <w:r>
        <w:rPr>
          <w:rFonts w:ascii="Times New Roman" w:hAnsi="Times New Roman" w:eastAsia="楷体_GB2312" w:cs="Times New Roman"/>
          <w:b/>
          <w:bCs/>
          <w:color w:val="auto"/>
          <w:kern w:val="2"/>
          <w:sz w:val="32"/>
          <w:szCs w:val="32"/>
        </w:rPr>
        <w:t>（三）评价结果应用情况。</w:t>
      </w:r>
    </w:p>
    <w:p w14:paraId="1B446CEA">
      <w:pPr>
        <w:widowControl/>
        <w:spacing w:line="600" w:lineRule="exact"/>
        <w:ind w:left="0" w:firstLine="640" w:firstLineChars="200"/>
        <w:rPr>
          <w:rFonts w:hint="eastAsia" w:ascii="仿宋_GB2312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加强预算编制管理：组织财务人员和相关项目负责人参加预算编制培训，提高预算编制人员的业务水平和对市场变化的敏感度。在预算编制过程中，充分开展市场调研，广泛征求意见，对项目支出进行详细的成本测算和风险评估，提高预算编制的精准度。同时，建立预算调整机制，对因客观因素导致的预算偏差及时进行调整和审批。</w:t>
      </w:r>
    </w:p>
    <w:p w14:paraId="1BCC7FCF">
      <w:pPr>
        <w:widowControl/>
        <w:spacing w:line="600" w:lineRule="exact"/>
        <w:ind w:left="0" w:firstLine="640" w:firstLineChars="200"/>
        <w:rPr>
          <w:rFonts w:hint="eastAsia" w:ascii="仿宋_GB2312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优化资金使用效益：建立健全办公用品管理制度，加强对办公用品采购、领用、库存的管理，定期清理积压物资，避免浪费。在校园活动策划和组织过程中，加强前期调研和方案论证，明确活动目标和预期效果，合理安排活动经费，提高活动的质量和效益。同时，加强对资金使用的全过程监控，及时发现并纠正资金使用中的不合理行为。</w:t>
      </w:r>
    </w:p>
    <w:p w14:paraId="72738A19">
      <w:pPr>
        <w:widowControl/>
        <w:spacing w:line="600" w:lineRule="exact"/>
        <w:ind w:left="0" w:firstLine="640" w:firstLineChars="200"/>
        <w:rPr>
          <w:rFonts w:hint="eastAsia" w:ascii="仿宋_GB2312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完善绩效评价体系：进一步完善绩效评价指标体系，增加对学生学习兴趣、综合素质培养、教师团队协作等隐性指标的评价。科学合理设置各指标的权重，采用多元化的评价方法，如定量与定性相结合、内部评价与外部评价相结合等，确保绩效评价结果的全面性和准确性。加强绩效评价结果的应用，将评价结果与学校各部门及教职工的绩效考核、奖励分配挂钩，充分发挥绩效评价的激励和导向作用。</w:t>
      </w:r>
    </w:p>
    <w:p w14:paraId="51929827">
      <w:pP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_GB2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ABFBCA"/>
    <w:multiLevelType w:val="singleLevel"/>
    <w:tmpl w:val="D8ABFBC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iZjM2MjQwZTcwNjYyYzc4NDQ2ZDkzYWM3NGZmNDAifQ=="/>
  </w:docVars>
  <w:rsids>
    <w:rsidRoot w:val="00000000"/>
    <w:rsid w:val="0DB55A7E"/>
    <w:rsid w:val="0F750904"/>
    <w:rsid w:val="19DB686C"/>
    <w:rsid w:val="23503DE8"/>
    <w:rsid w:val="23AF2F2A"/>
    <w:rsid w:val="2754057D"/>
    <w:rsid w:val="2BE955F4"/>
    <w:rsid w:val="33012D63"/>
    <w:rsid w:val="488F3D9C"/>
    <w:rsid w:val="489A18C8"/>
    <w:rsid w:val="48C837A5"/>
    <w:rsid w:val="4EE379DE"/>
    <w:rsid w:val="506374B2"/>
    <w:rsid w:val="55975FCE"/>
    <w:rsid w:val="56B769A4"/>
    <w:rsid w:val="66336878"/>
    <w:rsid w:val="6C3A14A7"/>
    <w:rsid w:val="6DE2204F"/>
    <w:rsid w:val="727342FE"/>
    <w:rsid w:val="7659410D"/>
    <w:rsid w:val="7BB2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200"/>
      <w:ind w:firstLine="100" w:firstLineChars="100"/>
      <w:jc w:val="center"/>
    </w:pPr>
    <w:rPr>
      <w:rFonts w:ascii="??_GB2312" w:hAnsi="??_GB2312" w:cs="??_GB2312"/>
      <w:sz w:val="24"/>
      <w:szCs w:val="24"/>
    </w:rPr>
  </w:style>
  <w:style w:type="paragraph" w:styleId="3">
    <w:name w:val="Body 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4">
    <w:name w:val="Body Text Indent"/>
    <w:basedOn w:val="1"/>
    <w:next w:val="5"/>
    <w:unhideWhenUsed/>
    <w:qFormat/>
    <w:uiPriority w:val="99"/>
    <w:pPr>
      <w:widowControl/>
      <w:spacing w:after="120"/>
      <w:ind w:left="420" w:leftChars="200"/>
      <w:jc w:val="left"/>
    </w:pPr>
    <w:rPr>
      <w:rFonts w:ascii="宋体" w:hAnsi="宋体" w:eastAsia="宋体" w:cs="宋体"/>
      <w:kern w:val="0"/>
      <w:sz w:val="24"/>
    </w:rPr>
  </w:style>
  <w:style w:type="paragraph" w:styleId="5">
    <w:name w:val="Body Text First Indent 2"/>
    <w:basedOn w:val="4"/>
    <w:next w:val="1"/>
    <w:unhideWhenUsed/>
    <w:qFormat/>
    <w:uiPriority w:val="99"/>
    <w:pPr>
      <w:ind w:firstLine="420" w:firstLineChars="200"/>
    </w:pPr>
  </w:style>
  <w:style w:type="paragraph" w:styleId="6">
    <w:name w:val="Block Text"/>
    <w:basedOn w:val="1"/>
    <w:next w:val="7"/>
    <w:qFormat/>
    <w:uiPriority w:val="0"/>
    <w:pPr>
      <w:spacing w:after="120" w:afterLines="0" w:afterAutospacing="0"/>
      <w:ind w:left="1440" w:leftChars="700" w:right="700" w:rightChars="700"/>
      <w:jc w:val="left"/>
    </w:pPr>
  </w:style>
  <w:style w:type="paragraph" w:styleId="7">
    <w:name w:val="Plain Text"/>
    <w:basedOn w:val="1"/>
    <w:qFormat/>
    <w:uiPriority w:val="0"/>
    <w:rPr>
      <w:rFonts w:ascii="宋体" w:hAnsi="Courier New"/>
    </w:rPr>
  </w:style>
  <w:style w:type="paragraph" w:styleId="8">
    <w:name w:val="footnote text"/>
    <w:basedOn w:val="1"/>
    <w:next w:val="5"/>
    <w:semiHidden/>
    <w:qFormat/>
    <w:uiPriority w:val="0"/>
    <w:pPr>
      <w:snapToGrid w:val="0"/>
      <w:jc w:val="left"/>
    </w:pPr>
    <w:rPr>
      <w:sz w:val="18"/>
      <w:szCs w:val="18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1707</Words>
  <Characters>1965</Characters>
  <Lines>0</Lines>
  <Paragraphs>0</Paragraphs>
  <TotalTime>4</TotalTime>
  <ScaleCrop>false</ScaleCrop>
  <LinksUpToDate>false</LinksUpToDate>
  <CharactersWithSpaces>1966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静等花开</cp:lastModifiedBy>
  <dcterms:modified xsi:type="dcterms:W3CDTF">2025-09-21T14:05:24Z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1EB8721061AF474E89EBF3034C210971_13</vt:lpwstr>
  </property>
  <property fmtid="{D5CDD505-2E9C-101B-9397-08002B2CF9AE}" pid="4" name="KSOTemplateDocerSaveRecord">
    <vt:lpwstr>eyJoZGlkIjoiMDdhOGJhYWEzMzJhOGQ0ODA0NjE2ZGI5YzYzZTk4MzkiLCJ1c2VySWQiOiI0MjA2MTM3MzcifQ==</vt:lpwstr>
  </property>
</Properties>
</file>